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563C1" w14:textId="02C651FA" w:rsidR="00C80340" w:rsidRDefault="0057323D" w:rsidP="003D7B81">
      <w:pPr>
        <w:tabs>
          <w:tab w:val="center" w:pos="4536"/>
          <w:tab w:val="right" w:pos="8280"/>
          <w:tab w:val="right" w:pos="9639"/>
        </w:tabs>
        <w:spacing w:after="0"/>
        <w:rPr>
          <w:rFonts w:ascii="Arial" w:hAnsi="Arial" w:cs="Arial"/>
          <w:b/>
          <w:bCs/>
          <w:sz w:val="28"/>
        </w:rPr>
      </w:pPr>
      <w:bookmarkStart w:id="0" w:name="_Ref462675860"/>
      <w:bookmarkStart w:id="1" w:name="_Ref465963108"/>
      <w:r>
        <w:rPr>
          <w:rFonts w:ascii="Arial" w:hAnsi="Arial" w:cs="Arial"/>
          <w:b/>
          <w:bCs/>
          <w:sz w:val="28"/>
        </w:rPr>
        <w:t>3GPP TSG RAN WG2</w:t>
      </w:r>
      <w:r w:rsidR="00C80340">
        <w:rPr>
          <w:rFonts w:ascii="Arial" w:hAnsi="Arial" w:cs="Arial"/>
          <w:b/>
          <w:bCs/>
          <w:sz w:val="28"/>
        </w:rPr>
        <w:t xml:space="preserve"> Meeting </w:t>
      </w:r>
      <w:r>
        <w:rPr>
          <w:rFonts w:ascii="Arial" w:hAnsi="Arial" w:cs="Arial"/>
          <w:b/>
          <w:bCs/>
          <w:sz w:val="28"/>
        </w:rPr>
        <w:t>#99bis</w:t>
      </w:r>
      <w:r w:rsidR="00C80340">
        <w:rPr>
          <w:rFonts w:ascii="Arial" w:eastAsia="MS Mincho" w:hAnsi="Arial" w:cs="Arial"/>
          <w:b/>
          <w:bCs/>
          <w:sz w:val="28"/>
          <w:lang w:eastAsia="ja-JP"/>
        </w:rPr>
        <w:tab/>
        <w:t xml:space="preserve"> </w:t>
      </w:r>
      <w:r>
        <w:rPr>
          <w:rFonts w:ascii="Arial" w:eastAsia="MS Mincho" w:hAnsi="Arial" w:cs="Arial"/>
          <w:b/>
          <w:bCs/>
          <w:sz w:val="28"/>
          <w:lang w:eastAsia="ja-JP"/>
        </w:rPr>
        <w:tab/>
      </w:r>
      <w:r w:rsidR="00BD7F3D">
        <w:rPr>
          <w:rFonts w:ascii="Arial" w:hAnsi="Arial" w:cs="Arial"/>
          <w:b/>
          <w:bCs/>
          <w:sz w:val="28"/>
        </w:rPr>
        <w:t>R2</w:t>
      </w:r>
      <w:r>
        <w:rPr>
          <w:rFonts w:ascii="Arial" w:hAnsi="Arial" w:cs="Arial"/>
          <w:b/>
          <w:bCs/>
          <w:sz w:val="28"/>
        </w:rPr>
        <w:t>-17</w:t>
      </w:r>
      <w:r w:rsidR="003D7B81">
        <w:rPr>
          <w:rFonts w:ascii="Arial" w:hAnsi="Arial" w:cs="Arial"/>
          <w:b/>
          <w:bCs/>
          <w:sz w:val="28"/>
        </w:rPr>
        <w:t>11700</w:t>
      </w:r>
    </w:p>
    <w:p w14:paraId="3C0458B8" w14:textId="51D56D7D" w:rsidR="008804DA" w:rsidRPr="00611876" w:rsidRDefault="0057323D" w:rsidP="00C803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C80340">
        <w:rPr>
          <w:rFonts w:ascii="Arial" w:hAnsi="Arial" w:cs="Arial"/>
          <w:b/>
          <w:bCs/>
          <w:sz w:val="28"/>
        </w:rPr>
        <w:t xml:space="preserve">, </w:t>
      </w:r>
      <w:r>
        <w:rPr>
          <w:rFonts w:ascii="Arial" w:hAnsi="Arial" w:cs="Arial"/>
          <w:b/>
          <w:bCs/>
          <w:sz w:val="28"/>
        </w:rPr>
        <w:t>Czech</w:t>
      </w:r>
      <w:r w:rsidR="00C80340">
        <w:rPr>
          <w:rFonts w:ascii="Arial" w:hAnsi="Arial" w:cs="Arial"/>
          <w:b/>
          <w:bCs/>
          <w:sz w:val="28"/>
        </w:rPr>
        <w:t xml:space="preserve">, </w:t>
      </w:r>
      <w:r>
        <w:rPr>
          <w:rFonts w:ascii="Arial" w:hAnsi="Arial" w:cs="Arial"/>
          <w:b/>
          <w:bCs/>
          <w:sz w:val="28"/>
        </w:rPr>
        <w:t>9</w:t>
      </w:r>
      <w:r w:rsidR="00C80340">
        <w:rPr>
          <w:rFonts w:ascii="Arial" w:eastAsia="MS Mincho" w:hAnsi="Arial" w:cs="Arial"/>
          <w:b/>
          <w:bCs/>
          <w:sz w:val="28"/>
          <w:vertAlign w:val="superscript"/>
          <w:lang w:eastAsia="ja-JP"/>
        </w:rPr>
        <w:t>th</w:t>
      </w:r>
      <w:r w:rsidR="00C80340">
        <w:rPr>
          <w:rFonts w:ascii="Arial" w:eastAsia="MS Mincho" w:hAnsi="Arial" w:cs="Arial"/>
          <w:b/>
          <w:bCs/>
          <w:sz w:val="28"/>
          <w:lang w:eastAsia="ja-JP"/>
        </w:rPr>
        <w:t xml:space="preserve"> </w:t>
      </w:r>
      <w:r w:rsidR="00C80340">
        <w:rPr>
          <w:rFonts w:ascii="Arial" w:hAnsi="Arial" w:cs="Arial"/>
          <w:b/>
          <w:bCs/>
          <w:sz w:val="28"/>
        </w:rPr>
        <w:t xml:space="preserve">– </w:t>
      </w:r>
      <w:r>
        <w:rPr>
          <w:rFonts w:ascii="Arial" w:hAnsi="Arial" w:cs="Arial"/>
          <w:b/>
          <w:bCs/>
          <w:sz w:val="28"/>
        </w:rPr>
        <w:t>13</w:t>
      </w:r>
      <w:r w:rsidR="00C80340">
        <w:rPr>
          <w:rFonts w:ascii="Arial" w:eastAsia="MS Mincho" w:hAnsi="Arial" w:cs="Arial"/>
          <w:b/>
          <w:bCs/>
          <w:sz w:val="28"/>
          <w:vertAlign w:val="superscript"/>
          <w:lang w:eastAsia="ja-JP"/>
        </w:rPr>
        <w:t>st</w:t>
      </w:r>
      <w:r w:rsidR="00C80340">
        <w:rPr>
          <w:rFonts w:ascii="Arial" w:eastAsia="MS Mincho" w:hAnsi="Arial" w:cs="Arial"/>
          <w:b/>
          <w:bCs/>
          <w:sz w:val="28"/>
          <w:lang w:eastAsia="ja-JP"/>
        </w:rPr>
        <w:t xml:space="preserve">, </w:t>
      </w:r>
      <w:r>
        <w:rPr>
          <w:rFonts w:ascii="Arial" w:eastAsia="MS Mincho" w:hAnsi="Arial" w:cs="Arial"/>
          <w:b/>
          <w:bCs/>
          <w:sz w:val="28"/>
          <w:lang w:eastAsia="ja-JP"/>
        </w:rPr>
        <w:t>October</w:t>
      </w:r>
      <w:r w:rsidR="00C80340">
        <w:rPr>
          <w:rFonts w:ascii="Arial" w:hAnsi="Arial" w:cs="Arial"/>
          <w:b/>
          <w:bCs/>
          <w:sz w:val="28"/>
        </w:rPr>
        <w:t xml:space="preserve"> 201</w:t>
      </w:r>
      <w:r w:rsidR="00C80340">
        <w:rPr>
          <w:rFonts w:ascii="Arial" w:eastAsia="MS Mincho" w:hAnsi="Arial" w:cs="Arial"/>
          <w:b/>
          <w:bCs/>
          <w:sz w:val="28"/>
          <w:lang w:eastAsia="ja-JP"/>
        </w:rPr>
        <w:t>7</w:t>
      </w:r>
    </w:p>
    <w:p w14:paraId="0DCC4F68" w14:textId="5CC87B4D"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7323D">
        <w:rPr>
          <w:rFonts w:ascii="Arial" w:hAnsi="Arial"/>
          <w:sz w:val="24"/>
        </w:rPr>
        <w:t>10.3.1.12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26D13EA"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57323D">
        <w:rPr>
          <w:rFonts w:ascii="Arial" w:hAnsi="Arial"/>
        </w:rPr>
        <w:t>PHR trigger by w</w:t>
      </w:r>
      <w:r w:rsidR="0057323D">
        <w:rPr>
          <w:rFonts w:ascii="Arial" w:hAnsi="Arial"/>
          <w:sz w:val="24"/>
        </w:rPr>
        <w:t xml:space="preserve">aveform change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E020CB1" w14:textId="5D29F8BA" w:rsidR="000727F9" w:rsidRDefault="008302AB" w:rsidP="00BD7F3D">
      <w:pPr>
        <w:jc w:val="both"/>
      </w:pPr>
      <w:r>
        <w:t>In RAN</w:t>
      </w:r>
      <w:r w:rsidR="001E3C52" w:rsidRPr="000727F9">
        <w:t xml:space="preserve">1 </w:t>
      </w:r>
      <w:r>
        <w:t>#</w:t>
      </w:r>
      <w:r w:rsidR="001E3C52" w:rsidRPr="000727F9">
        <w:t>86bis</w:t>
      </w:r>
      <w:r w:rsidR="00006F50" w:rsidRPr="000727F9">
        <w:t xml:space="preserve"> </w:t>
      </w:r>
      <w:r w:rsidR="00006F50" w:rsidRPr="000727F9">
        <w:fldChar w:fldCharType="begin"/>
      </w:r>
      <w:r w:rsidR="00006F50" w:rsidRPr="000727F9">
        <w:instrText xml:space="preserve"> REF _Ref481771738 \r \h </w:instrText>
      </w:r>
      <w:r w:rsidR="000727F9">
        <w:instrText xml:space="preserve"> \* MERGEFORMAT </w:instrText>
      </w:r>
      <w:r w:rsidR="00006F50" w:rsidRPr="000727F9">
        <w:fldChar w:fldCharType="separate"/>
      </w:r>
      <w:r w:rsidR="006D0D47" w:rsidRPr="000727F9">
        <w:t>[1]</w:t>
      </w:r>
      <w:r w:rsidR="00006F50" w:rsidRPr="000727F9">
        <w:fldChar w:fldCharType="end"/>
      </w:r>
      <w:r w:rsidR="000727F9">
        <w:t>, it wa</w:t>
      </w:r>
      <w:r w:rsidR="001E3C52" w:rsidRPr="000727F9">
        <w:t>s agreed that both DFT-OFDM and CP-OFDM were mandatory for UEs</w:t>
      </w:r>
      <w:r w:rsidR="00F0497A" w:rsidRPr="000727F9">
        <w:t>, at least for eMBB uplink transmission</w:t>
      </w:r>
      <w:r w:rsidR="001E3C52" w:rsidRPr="000727F9">
        <w:t xml:space="preserve">. </w:t>
      </w:r>
      <w:r w:rsidR="006D0D47" w:rsidRPr="000727F9">
        <w:t xml:space="preserve"> </w:t>
      </w:r>
    </w:p>
    <w:p w14:paraId="2E37D349" w14:textId="683781A9" w:rsidR="00EF0FFF" w:rsidRPr="000727F9" w:rsidRDefault="00EF0FFF" w:rsidP="00BD7F3D">
      <w:pPr>
        <w:jc w:val="both"/>
      </w:pPr>
      <w:r>
        <w:t xml:space="preserve">In RAN1 #88bis [2], it was agreed that </w:t>
      </w:r>
      <w:r w:rsidR="00725D9D">
        <w:t>gNB is aware of the power headroom difference for different waveforms, if the UE can be configured for both waveforms. But it remains FFS whether the offset is configured or reported.</w:t>
      </w:r>
    </w:p>
    <w:p w14:paraId="21DBD4AA" w14:textId="2F84FE2D" w:rsidR="000727F9" w:rsidRPr="000727F9" w:rsidRDefault="000727F9" w:rsidP="000727F9">
      <w:pPr>
        <w:jc w:val="both"/>
      </w:pPr>
      <w:r w:rsidRPr="000727F9">
        <w:t xml:space="preserve">In RAN1 NR Ad-Hoc#2 </w:t>
      </w:r>
      <w:r w:rsidR="002A5FF4">
        <w:fldChar w:fldCharType="begin"/>
      </w:r>
      <w:r w:rsidR="002A5FF4">
        <w:instrText xml:space="preserve"> REF _Ref489449226 \r \h </w:instrText>
      </w:r>
      <w:r w:rsidR="002A5FF4">
        <w:fldChar w:fldCharType="separate"/>
      </w:r>
      <w:r w:rsidR="002A5FF4">
        <w:t>[3]</w:t>
      </w:r>
      <w:r w:rsidR="002A5FF4">
        <w:fldChar w:fldCharType="end"/>
      </w:r>
      <w:r>
        <w:t xml:space="preserve">, it was </w:t>
      </w:r>
      <w:r w:rsidRPr="000727F9">
        <w:t xml:space="preserve">agreed </w:t>
      </w:r>
      <w:r>
        <w:t xml:space="preserve">that </w:t>
      </w:r>
      <w:r w:rsidRPr="000727F9">
        <w:t>“</w:t>
      </w:r>
      <w:r w:rsidRPr="000727F9">
        <w:rPr>
          <w:rFonts w:eastAsia="MS Mincho"/>
          <w:lang w:eastAsia="ja-JP"/>
        </w:rPr>
        <w:t>UE’s power headroom report is based on the corresponding PUSCH transmission(s)</w:t>
      </w:r>
      <w:r w:rsidRPr="000727F9">
        <w:t xml:space="preserve">”. </w:t>
      </w:r>
    </w:p>
    <w:p w14:paraId="46EA1810" w14:textId="2BC2F74D" w:rsidR="00BD7F3D" w:rsidRPr="000727F9" w:rsidRDefault="006D0D47" w:rsidP="00BD7F3D">
      <w:pPr>
        <w:jc w:val="both"/>
      </w:pPr>
      <w:r w:rsidRPr="000727F9">
        <w:t xml:space="preserve">This contribution discusses </w:t>
      </w:r>
      <w:r w:rsidR="002A5FF4">
        <w:t>whether</w:t>
      </w:r>
      <w:r w:rsidR="00BD7F3D" w:rsidRPr="000727F9">
        <w:t xml:space="preserve"> switching between waveforms may trigger </w:t>
      </w:r>
      <w:r w:rsidR="002A5FF4">
        <w:t>a new</w:t>
      </w:r>
      <w:r w:rsidR="00BD7F3D" w:rsidRPr="000727F9">
        <w:t xml:space="preserve"> PHR.</w:t>
      </w:r>
      <w:bookmarkStart w:id="2" w:name="_Ref473802466"/>
      <w:bookmarkStart w:id="3" w:name="_Ref462669569"/>
    </w:p>
    <w:p w14:paraId="56319AB1" w14:textId="04D5788A" w:rsidR="009D357D" w:rsidRDefault="00BD7F3D" w:rsidP="00BD7F3D">
      <w:pPr>
        <w:pStyle w:val="Heading1"/>
      </w:pPr>
      <w:r>
        <w:t>Discussion</w:t>
      </w:r>
      <w:r w:rsidR="004D2238">
        <w:t xml:space="preserve"> </w:t>
      </w:r>
    </w:p>
    <w:p w14:paraId="765A7268" w14:textId="1C50F480" w:rsidR="009D357D" w:rsidRDefault="00F6471B" w:rsidP="001B77F0">
      <w:pPr>
        <w:spacing w:line="264" w:lineRule="auto"/>
        <w:rPr>
          <w:lang w:val="en-GB"/>
        </w:rPr>
      </w:pPr>
      <w:r>
        <w:rPr>
          <w:lang w:val="en-GB"/>
        </w:rPr>
        <w:t xml:space="preserve">In </w:t>
      </w:r>
      <w:r w:rsidR="00982B3C">
        <w:rPr>
          <w:lang w:val="en-GB"/>
        </w:rPr>
        <w:t>NR</w:t>
      </w:r>
      <w:r>
        <w:rPr>
          <w:lang w:val="en-GB"/>
        </w:rPr>
        <w:t xml:space="preserve">, a UE </w:t>
      </w:r>
      <w:r w:rsidR="00237D20">
        <w:rPr>
          <w:lang w:val="en-GB"/>
        </w:rPr>
        <w:t xml:space="preserve">can </w:t>
      </w:r>
      <w:r w:rsidR="002A5FF4">
        <w:rPr>
          <w:lang w:val="en-GB"/>
        </w:rPr>
        <w:t xml:space="preserve">support </w:t>
      </w:r>
      <w:r>
        <w:rPr>
          <w:lang w:val="en-GB"/>
        </w:rPr>
        <w:t xml:space="preserve">two </w:t>
      </w:r>
      <w:r w:rsidR="00237D20">
        <w:rPr>
          <w:lang w:val="en-GB"/>
        </w:rPr>
        <w:t xml:space="preserve">types of </w:t>
      </w:r>
      <w:r>
        <w:rPr>
          <w:lang w:val="en-GB"/>
        </w:rPr>
        <w:t xml:space="preserve">waveforms, CP-OFDM and DFT-S-OFDM, for UL transmission. </w:t>
      </w:r>
      <w:r w:rsidR="00082EE6">
        <w:rPr>
          <w:lang w:val="en-GB"/>
        </w:rPr>
        <w:t xml:space="preserve">Because DFT-S-OFDM has lower PAPR than CP-OFDM, </w:t>
      </w:r>
      <w:r w:rsidR="002A5FF4">
        <w:rPr>
          <w:lang w:val="en-GB"/>
        </w:rPr>
        <w:t>it</w:t>
      </w:r>
      <w:r w:rsidR="00082EE6">
        <w:rPr>
          <w:lang w:val="en-GB"/>
        </w:rPr>
        <w:t xml:space="preserve"> can drive UE’s power amplifier to higher operation point than CP-OFDM, without creating Tx signal distortion issue. </w:t>
      </w:r>
      <w:r w:rsidR="000727F9">
        <w:rPr>
          <w:lang w:val="en-GB"/>
        </w:rPr>
        <w:t xml:space="preserve">Therefore, </w:t>
      </w:r>
      <w:r w:rsidR="00F54264">
        <w:rPr>
          <w:lang w:val="en-GB"/>
        </w:rPr>
        <w:t>CP-</w:t>
      </w:r>
      <w:r w:rsidR="000817C8">
        <w:rPr>
          <w:lang w:val="en-GB"/>
        </w:rPr>
        <w:t xml:space="preserve">OFDM is used when UE has spare power headroom to achieve high throughput, while </w:t>
      </w:r>
      <w:r w:rsidR="000727F9">
        <w:rPr>
          <w:lang w:val="en-GB"/>
        </w:rPr>
        <w:t>DFT-S-OFDM is used when UE becomes power limited</w:t>
      </w:r>
      <w:r w:rsidR="001844B4">
        <w:rPr>
          <w:lang w:val="en-GB"/>
        </w:rPr>
        <w:t>.</w:t>
      </w:r>
    </w:p>
    <w:p w14:paraId="4034C3AC" w14:textId="468707B4" w:rsidR="00482777" w:rsidRDefault="00237D20" w:rsidP="001B77F0">
      <w:pPr>
        <w:spacing w:line="264" w:lineRule="auto"/>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End w:id="2"/>
      <w:bookmarkEnd w:id="3"/>
      <w:r>
        <w:rPr>
          <w:lang w:val="en-GB"/>
        </w:rPr>
        <w:t xml:space="preserve">According to </w:t>
      </w:r>
      <w:r w:rsidR="00FC4F4F">
        <w:rPr>
          <w:lang w:val="en-GB"/>
        </w:rPr>
        <w:t xml:space="preserve">Section 6.2.5 in </w:t>
      </w:r>
      <w:r w:rsidR="003D7B81">
        <w:rPr>
          <w:lang w:val="en-GB"/>
        </w:rPr>
        <w:fldChar w:fldCharType="begin"/>
      </w:r>
      <w:r w:rsidR="003D7B81">
        <w:rPr>
          <w:lang w:val="en-GB"/>
        </w:rPr>
        <w:instrText xml:space="preserve"> REF _Ref481678721 \r \h </w:instrText>
      </w:r>
      <w:r w:rsidR="003D7B81">
        <w:rPr>
          <w:lang w:val="en-GB"/>
        </w:rPr>
      </w:r>
      <w:r w:rsidR="003D7B81">
        <w:rPr>
          <w:lang w:val="en-GB"/>
        </w:rPr>
        <w:fldChar w:fldCharType="separate"/>
      </w:r>
      <w:r w:rsidR="003D7B81">
        <w:rPr>
          <w:lang w:val="en-GB"/>
        </w:rPr>
        <w:t>[4]</w:t>
      </w:r>
      <w:r w:rsidR="003D7B81">
        <w:rPr>
          <w:lang w:val="en-GB"/>
        </w:rPr>
        <w:fldChar w:fldCharType="end"/>
      </w:r>
      <w:bookmarkStart w:id="14" w:name="_GoBack"/>
      <w:bookmarkEnd w:id="14"/>
      <w:r>
        <w:rPr>
          <w:lang w:val="en-GB"/>
        </w:rPr>
        <w:t xml:space="preserve">, </w:t>
      </w:r>
      <w:r>
        <w:t xml:space="preserve">network configures </w:t>
      </w:r>
      <w:r w:rsidR="005E0AA6">
        <w:t>an operating</w:t>
      </w:r>
      <w:r>
        <w:t xml:space="preserve"> range </w:t>
      </w:r>
      <w:r w:rsidR="00FC4F4F">
        <w:t>for</w:t>
      </w:r>
      <w:r>
        <w:t xml:space="preserve"> P</w:t>
      </w:r>
      <w:r w:rsidRPr="00237D20">
        <w:rPr>
          <w:vertAlign w:val="subscript"/>
        </w:rPr>
        <w:t>cmax,c</w:t>
      </w:r>
      <w:r w:rsidR="00FC4F4F">
        <w:t xml:space="preserve">, i.e. </w:t>
      </w:r>
      <w:r w:rsidR="00FC4F4F" w:rsidRPr="00570FF5">
        <w:rPr>
          <w:lang w:bidi="bn-IN"/>
        </w:rPr>
        <w:t>P</w:t>
      </w:r>
      <w:r w:rsidR="00FC4F4F" w:rsidRPr="00570FF5">
        <w:rPr>
          <w:vertAlign w:val="subscript"/>
          <w:lang w:bidi="bn-IN"/>
        </w:rPr>
        <w:t>CMAX_L,</w:t>
      </w:r>
      <w:r w:rsidR="00FC4F4F" w:rsidRPr="00570FF5">
        <w:rPr>
          <w:i/>
          <w:vertAlign w:val="subscript"/>
          <w:lang w:bidi="bn-IN"/>
        </w:rPr>
        <w:t>c</w:t>
      </w:r>
      <w:r w:rsidR="00FC4F4F" w:rsidRPr="00570FF5">
        <w:rPr>
          <w:lang w:bidi="bn-IN"/>
        </w:rPr>
        <w:t xml:space="preserve"> ≤  P</w:t>
      </w:r>
      <w:r w:rsidR="00FC4F4F" w:rsidRPr="00570FF5">
        <w:rPr>
          <w:vertAlign w:val="subscript"/>
          <w:lang w:bidi="bn-IN"/>
        </w:rPr>
        <w:t>CMAX,</w:t>
      </w:r>
      <w:r w:rsidR="00FC4F4F" w:rsidRPr="00570FF5">
        <w:rPr>
          <w:i/>
          <w:vertAlign w:val="subscript"/>
          <w:lang w:bidi="bn-IN"/>
        </w:rPr>
        <w:t>c</w:t>
      </w:r>
      <w:r w:rsidR="00FC4F4F" w:rsidRPr="00570FF5">
        <w:rPr>
          <w:vertAlign w:val="subscript"/>
          <w:lang w:bidi="bn-IN"/>
        </w:rPr>
        <w:t xml:space="preserve"> </w:t>
      </w:r>
      <w:r w:rsidR="00FC4F4F" w:rsidRPr="00570FF5">
        <w:rPr>
          <w:lang w:bidi="bn-IN"/>
        </w:rPr>
        <w:t xml:space="preserve"> ≤  P</w:t>
      </w:r>
      <w:r w:rsidR="00FC4F4F" w:rsidRPr="00570FF5">
        <w:rPr>
          <w:vertAlign w:val="subscript"/>
          <w:lang w:bidi="bn-IN"/>
        </w:rPr>
        <w:t>CMAX_H,</w:t>
      </w:r>
      <w:r w:rsidR="00FC4F4F" w:rsidRPr="00570FF5">
        <w:rPr>
          <w:i/>
          <w:vertAlign w:val="subscript"/>
          <w:lang w:bidi="bn-IN"/>
        </w:rPr>
        <w:t>c</w:t>
      </w:r>
      <w:r w:rsidR="00FC4F4F">
        <w:rPr>
          <w:vertAlign w:val="subscript"/>
          <w:lang w:bidi="bn-IN"/>
        </w:rPr>
        <w:t xml:space="preserve">, </w:t>
      </w:r>
      <w:r w:rsidR="005E0AA6">
        <w:t>wh</w:t>
      </w:r>
      <w:r w:rsidR="00FC4F4F">
        <w:t xml:space="preserve">ere </w:t>
      </w:r>
      <w:r w:rsidR="00FC4F4F" w:rsidRPr="00570FF5">
        <w:rPr>
          <w:lang w:bidi="bn-IN"/>
        </w:rPr>
        <w:t>P</w:t>
      </w:r>
      <w:r w:rsidR="00FC4F4F" w:rsidRPr="00570FF5">
        <w:rPr>
          <w:vertAlign w:val="subscript"/>
          <w:lang w:bidi="bn-IN"/>
        </w:rPr>
        <w:t>CMAX_L,</w:t>
      </w:r>
      <w:r w:rsidR="00FC4F4F" w:rsidRPr="00570FF5">
        <w:rPr>
          <w:i/>
          <w:vertAlign w:val="subscript"/>
          <w:lang w:bidi="bn-IN"/>
        </w:rPr>
        <w:t>c</w:t>
      </w:r>
      <w:r w:rsidR="00FC4F4F" w:rsidRPr="00570FF5">
        <w:rPr>
          <w:lang w:bidi="bn-IN"/>
        </w:rPr>
        <w:t xml:space="preserve"> </w:t>
      </w:r>
      <w:r w:rsidR="00FC4F4F">
        <w:rPr>
          <w:lang w:bidi="bn-IN"/>
        </w:rPr>
        <w:t>and</w:t>
      </w:r>
      <w:r w:rsidR="00FC4F4F" w:rsidRPr="00570FF5">
        <w:rPr>
          <w:lang w:bidi="bn-IN"/>
        </w:rPr>
        <w:t xml:space="preserve"> P</w:t>
      </w:r>
      <w:r w:rsidR="00FC4F4F" w:rsidRPr="00570FF5">
        <w:rPr>
          <w:vertAlign w:val="subscript"/>
          <w:lang w:bidi="bn-IN"/>
        </w:rPr>
        <w:t>CMAX_H,</w:t>
      </w:r>
      <w:r w:rsidR="00FC4F4F" w:rsidRPr="00570FF5">
        <w:rPr>
          <w:i/>
          <w:vertAlign w:val="subscript"/>
          <w:lang w:bidi="bn-IN"/>
        </w:rPr>
        <w:t>c</w:t>
      </w:r>
      <w:r w:rsidR="00FC4F4F">
        <w:rPr>
          <w:vertAlign w:val="subscript"/>
          <w:lang w:bidi="bn-IN"/>
        </w:rPr>
        <w:t xml:space="preserve">  </w:t>
      </w:r>
      <w:r w:rsidR="00FC4F4F">
        <w:rPr>
          <w:lang w:bidi="bn-IN"/>
        </w:rPr>
        <w:t xml:space="preserve">are </w:t>
      </w:r>
      <w:r w:rsidR="001B77F0">
        <w:rPr>
          <w:lang w:bidi="bn-IN"/>
        </w:rPr>
        <w:t xml:space="preserve">set </w:t>
      </w:r>
      <w:r w:rsidR="00FC4F4F">
        <w:t>independent</w:t>
      </w:r>
      <w:r w:rsidR="001B77F0">
        <w:t>ly</w:t>
      </w:r>
      <w:r w:rsidR="00FC4F4F">
        <w:t xml:space="preserve"> from </w:t>
      </w:r>
      <w:r w:rsidR="002A5FF4">
        <w:t xml:space="preserve">the </w:t>
      </w:r>
      <w:r>
        <w:t>waveform</w:t>
      </w:r>
      <w:r w:rsidR="002A5FF4">
        <w:t xml:space="preserve"> used</w:t>
      </w:r>
      <w:r>
        <w:t>. In addition, UE can adjust its P</w:t>
      </w:r>
      <w:r w:rsidRPr="00237D20">
        <w:rPr>
          <w:vertAlign w:val="subscript"/>
        </w:rPr>
        <w:t>cmax,c</w:t>
      </w:r>
      <w:r>
        <w:rPr>
          <w:vertAlign w:val="subscript"/>
        </w:rPr>
        <w:t xml:space="preserve"> </w:t>
      </w:r>
      <w:r>
        <w:t xml:space="preserve">on a per subframe basis, as long as it is within the configured range.  </w:t>
      </w:r>
      <w:r w:rsidR="00482777">
        <w:t>Therefore, there is no fixed offset between P</w:t>
      </w:r>
      <w:r w:rsidR="00482777" w:rsidRPr="00237D20">
        <w:rPr>
          <w:vertAlign w:val="subscript"/>
        </w:rPr>
        <w:t>cmax,c</w:t>
      </w:r>
      <w:r w:rsidR="00482777">
        <w:t xml:space="preserve"> of the two waveforms.  </w:t>
      </w:r>
    </w:p>
    <w:p w14:paraId="07A926FD" w14:textId="63CA8C5E" w:rsidR="00482777" w:rsidRDefault="00482777" w:rsidP="001B77F0">
      <w:pPr>
        <w:spacing w:line="264" w:lineRule="auto"/>
      </w:pPr>
      <w:r>
        <w:t>Based on the above facts</w:t>
      </w:r>
      <w:r w:rsidR="00237D20">
        <w:t xml:space="preserve">, </w:t>
      </w:r>
      <w:r>
        <w:t xml:space="preserve">we can see that </w:t>
      </w:r>
      <w:r w:rsidR="00237D20">
        <w:t xml:space="preserve">it is possible </w:t>
      </w:r>
      <w:r>
        <w:t>for</w:t>
      </w:r>
      <w:r w:rsidR="00237D20">
        <w:t xml:space="preserve"> </w:t>
      </w:r>
      <w:r>
        <w:t>P</w:t>
      </w:r>
      <w:r w:rsidRPr="00237D20">
        <w:rPr>
          <w:vertAlign w:val="subscript"/>
        </w:rPr>
        <w:t>cmax,c</w:t>
      </w:r>
      <w:r>
        <w:t xml:space="preserve"> to have a significant change </w:t>
      </w:r>
      <w:r w:rsidR="005E0AA6">
        <w:t xml:space="preserve">after </w:t>
      </w:r>
      <w:r>
        <w:t xml:space="preserve">UE switches its </w:t>
      </w:r>
      <w:r w:rsidR="005E0AA6">
        <w:t>waveform</w:t>
      </w:r>
      <w:r>
        <w:t>.</w:t>
      </w:r>
      <w:r w:rsidR="00FC4F4F">
        <w:t xml:space="preserve"> If this change is larger than </w:t>
      </w:r>
      <w:r w:rsidR="00FC4F4F" w:rsidRPr="00FC4F4F">
        <w:rPr>
          <w:i/>
        </w:rPr>
        <w:t>dl-PathlossChange</w:t>
      </w:r>
      <w:r w:rsidR="00FC4F4F">
        <w:t xml:space="preserve">, then a new PHR should be triggered. On the other hand, if the configured operating range is smaller than </w:t>
      </w:r>
      <w:r w:rsidRPr="00FC4F4F">
        <w:rPr>
          <w:i/>
        </w:rPr>
        <w:t>dl-PathlossChange</w:t>
      </w:r>
      <w:r>
        <w:t>, then change in waveform does not trigger PHR.</w:t>
      </w:r>
      <w:r w:rsidR="002A5FF4">
        <w:t xml:space="preserve"> </w:t>
      </w:r>
      <w:r>
        <w:t xml:space="preserve">Therefore, we propose that </w:t>
      </w:r>
    </w:p>
    <w:p w14:paraId="5449D129" w14:textId="422B9DEA" w:rsidR="00482777" w:rsidRPr="00482777" w:rsidRDefault="00482777" w:rsidP="001B77F0">
      <w:pPr>
        <w:spacing w:line="264" w:lineRule="auto"/>
      </w:pPr>
      <w:r w:rsidRPr="00482777">
        <w:rPr>
          <w:b/>
        </w:rPr>
        <w:fldChar w:fldCharType="begin"/>
      </w:r>
      <w:r w:rsidRPr="00482777">
        <w:rPr>
          <w:b/>
        </w:rPr>
        <w:instrText xml:space="preserve"> REF _Ref494381012 \r \h </w:instrText>
      </w:r>
      <w:r>
        <w:rPr>
          <w:b/>
        </w:rPr>
        <w:instrText xml:space="preserve"> \* MERGEFORMAT </w:instrText>
      </w:r>
      <w:r w:rsidRPr="00482777">
        <w:rPr>
          <w:b/>
        </w:rPr>
      </w:r>
      <w:r w:rsidRPr="00482777">
        <w:rPr>
          <w:b/>
        </w:rPr>
        <w:fldChar w:fldCharType="separate"/>
      </w:r>
      <w:r w:rsidRPr="00482777">
        <w:rPr>
          <w:b/>
        </w:rPr>
        <w:t>Proposal 1</w:t>
      </w:r>
      <w:r w:rsidRPr="00482777">
        <w:rPr>
          <w:b/>
        </w:rPr>
        <w:fldChar w:fldCharType="end"/>
      </w:r>
      <w:r w:rsidRPr="00482777">
        <w:rPr>
          <w:b/>
        </w:rPr>
        <w:t>.</w:t>
      </w:r>
      <w:r>
        <w:tab/>
      </w:r>
      <w:r>
        <w:fldChar w:fldCharType="begin"/>
      </w:r>
      <w:r>
        <w:instrText xml:space="preserve"> REF _Ref494381012 \h </w:instrText>
      </w:r>
      <w:r>
        <w:fldChar w:fldCharType="separate"/>
      </w:r>
      <w:r>
        <w:rPr>
          <w:b/>
        </w:rPr>
        <w:t xml:space="preserve">Waveform change triggers a new PHR if change in </w:t>
      </w:r>
      <w:r w:rsidRPr="00482777">
        <w:rPr>
          <w:b/>
        </w:rPr>
        <w:t>P</w:t>
      </w:r>
      <w:r w:rsidRPr="00482777">
        <w:rPr>
          <w:b/>
          <w:vertAlign w:val="subscript"/>
        </w:rPr>
        <w:t xml:space="preserve">cmax,c </w:t>
      </w:r>
      <w:r w:rsidRPr="00482777">
        <w:rPr>
          <w:b/>
        </w:rPr>
        <w:t xml:space="preserve">is larger than </w:t>
      </w:r>
      <w:r w:rsidRPr="00482777">
        <w:rPr>
          <w:b/>
          <w:i/>
        </w:rPr>
        <w:t>dl-PathlossChange</w:t>
      </w:r>
      <w:r>
        <w:rPr>
          <w:b/>
        </w:rPr>
        <w:t>.</w:t>
      </w:r>
      <w:r>
        <w:fldChar w:fldCharType="end"/>
      </w:r>
    </w:p>
    <w:p w14:paraId="130A289D" w14:textId="7355F8AB" w:rsidR="00E168E5" w:rsidRDefault="006341FE" w:rsidP="000A3CBA">
      <w:pPr>
        <w:pStyle w:val="Heading1"/>
        <w:jc w:val="both"/>
      </w:pPr>
      <w:r>
        <w:t>Conclusions</w:t>
      </w:r>
      <w:bookmarkEnd w:id="4"/>
      <w:bookmarkEnd w:id="5"/>
      <w:bookmarkEnd w:id="6"/>
    </w:p>
    <w:bookmarkEnd w:id="7"/>
    <w:bookmarkEnd w:id="8"/>
    <w:bookmarkEnd w:id="9"/>
    <w:bookmarkEnd w:id="10"/>
    <w:bookmarkEnd w:id="11"/>
    <w:bookmarkEnd w:id="12"/>
    <w:bookmarkEnd w:id="13"/>
    <w:p w14:paraId="016E48F8" w14:textId="77777777" w:rsidR="00F54264" w:rsidRDefault="00F54264" w:rsidP="00F54264">
      <w:r>
        <w:t xml:space="preserve">Based on the above discussions, we recommend RAN2 to discuss the following proposals: </w:t>
      </w:r>
    </w:p>
    <w:p w14:paraId="7EF214B4" w14:textId="203A95BC" w:rsidR="00F54264" w:rsidRDefault="00F54264" w:rsidP="00F54264">
      <w:pPr>
        <w:numPr>
          <w:ilvl w:val="0"/>
          <w:numId w:val="21"/>
        </w:numPr>
        <w:ind w:left="1260" w:hanging="1260"/>
        <w:textAlignment w:val="auto"/>
        <w:rPr>
          <w:b/>
        </w:rPr>
      </w:pPr>
      <w:bookmarkStart w:id="15" w:name="_Ref494381012"/>
      <w:bookmarkStart w:id="16" w:name="_Ref494031432"/>
      <w:r>
        <w:rPr>
          <w:b/>
        </w:rPr>
        <w:t>Waveform change triggers a new PHR</w:t>
      </w:r>
      <w:r w:rsidR="00482777">
        <w:rPr>
          <w:b/>
        </w:rPr>
        <w:t xml:space="preserve"> if change in </w:t>
      </w:r>
      <w:r w:rsidR="00482777" w:rsidRPr="00482777">
        <w:rPr>
          <w:b/>
        </w:rPr>
        <w:t>P</w:t>
      </w:r>
      <w:r w:rsidR="00482777" w:rsidRPr="00482777">
        <w:rPr>
          <w:b/>
          <w:vertAlign w:val="subscript"/>
        </w:rPr>
        <w:t xml:space="preserve">cmax,c </w:t>
      </w:r>
      <w:r w:rsidR="00482777" w:rsidRPr="00482777">
        <w:rPr>
          <w:b/>
        </w:rPr>
        <w:t xml:space="preserve">is larger than </w:t>
      </w:r>
      <w:r w:rsidR="00482777" w:rsidRPr="00482777">
        <w:rPr>
          <w:b/>
          <w:i/>
        </w:rPr>
        <w:t>dl-PathlossChange</w:t>
      </w:r>
      <w:r>
        <w:rPr>
          <w:b/>
        </w:rPr>
        <w:t>.</w:t>
      </w:r>
      <w:bookmarkEnd w:id="15"/>
    </w:p>
    <w:bookmarkEnd w:id="16"/>
    <w:p w14:paraId="64099BEB" w14:textId="69A78F6C" w:rsidR="002F77EB" w:rsidRPr="00F0497A" w:rsidRDefault="00E523F3" w:rsidP="00F900DD">
      <w:pPr>
        <w:pStyle w:val="Heading1"/>
        <w:jc w:val="both"/>
        <w:rPr>
          <w:lang w:val="en-US"/>
        </w:rPr>
      </w:pPr>
      <w:r w:rsidRPr="000A64D8">
        <w:rPr>
          <w:lang w:val="en-US"/>
        </w:rPr>
        <w:lastRenderedPageBreak/>
        <w:t>References</w:t>
      </w:r>
      <w:bookmarkStart w:id="17" w:name="_Ref457730460"/>
      <w:bookmarkStart w:id="18" w:name="_Ref450735844"/>
      <w:bookmarkStart w:id="19" w:name="_Ref450342757"/>
      <w:r w:rsidR="002F77EB" w:rsidRPr="005D74B7">
        <w:rPr>
          <w:rFonts w:hint="eastAsia"/>
        </w:rPr>
        <w:tab/>
      </w:r>
    </w:p>
    <w:p w14:paraId="6B13E9B9" w14:textId="52A5BAED" w:rsidR="003C5139" w:rsidRDefault="00F0497A" w:rsidP="000727F9">
      <w:pPr>
        <w:pStyle w:val="ListParagraph"/>
        <w:numPr>
          <w:ilvl w:val="0"/>
          <w:numId w:val="2"/>
        </w:numPr>
        <w:jc w:val="both"/>
        <w:rPr>
          <w:rFonts w:ascii="Times New Roman" w:eastAsia="SimSun" w:hAnsi="Times New Roman"/>
          <w:sz w:val="20"/>
        </w:rPr>
      </w:pPr>
      <w:bookmarkStart w:id="20" w:name="_Ref481771738"/>
      <w:bookmarkStart w:id="21" w:name="_Ref461383190"/>
      <w:r>
        <w:rPr>
          <w:rFonts w:ascii="Times New Roman" w:eastAsia="SimSun" w:hAnsi="Times New Roman"/>
          <w:sz w:val="20"/>
        </w:rPr>
        <w:t xml:space="preserve">3GPP RAN1 86bis “RAN1 Chairman’s Notes”, </w:t>
      </w:r>
      <w:r w:rsidRPr="00F0497A">
        <w:rPr>
          <w:rFonts w:ascii="Times New Roman" w:eastAsia="SimSun" w:hAnsi="Times New Roman"/>
          <w:sz w:val="20"/>
        </w:rPr>
        <w:t>Lisbon, Portugal 10th - 14th October 2016.</w:t>
      </w:r>
      <w:bookmarkEnd w:id="20"/>
      <w:bookmarkEnd w:id="21"/>
    </w:p>
    <w:p w14:paraId="3B01061E" w14:textId="724FF93D" w:rsidR="002A5FF4" w:rsidRPr="002A5FF4" w:rsidRDefault="002A5FF4" w:rsidP="002A5FF4">
      <w:pPr>
        <w:pStyle w:val="ListParagraph"/>
        <w:numPr>
          <w:ilvl w:val="0"/>
          <w:numId w:val="2"/>
        </w:numPr>
        <w:rPr>
          <w:rFonts w:ascii="Times New Roman" w:eastAsia="SimSun" w:hAnsi="Times New Roman"/>
          <w:sz w:val="20"/>
        </w:rPr>
      </w:pPr>
      <w:r w:rsidRPr="002A5FF4">
        <w:rPr>
          <w:rFonts w:ascii="Times New Roman" w:eastAsia="SimSun" w:hAnsi="Times New Roman"/>
          <w:sz w:val="20"/>
        </w:rPr>
        <w:t>3GPP TSG RAN WG1 Meeting #88bis, “RAN1 Chairman’s Notes,” Spokane, USA, 3rd – 7th, April 2017.</w:t>
      </w:r>
    </w:p>
    <w:p w14:paraId="11683C9B" w14:textId="0C5DE9B4" w:rsidR="00EE79A3" w:rsidRDefault="00FC4ADC" w:rsidP="000727F9">
      <w:pPr>
        <w:pStyle w:val="ListParagraph"/>
        <w:numPr>
          <w:ilvl w:val="0"/>
          <w:numId w:val="2"/>
        </w:numPr>
        <w:jc w:val="both"/>
        <w:rPr>
          <w:rFonts w:ascii="Times New Roman" w:eastAsia="SimSun" w:hAnsi="Times New Roman"/>
          <w:sz w:val="20"/>
        </w:rPr>
      </w:pPr>
      <w:bookmarkStart w:id="22"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r w:rsidRPr="00683BDC">
        <w:rPr>
          <w:rFonts w:ascii="Times New Roman" w:eastAsia="SimSun" w:hAnsi="Times New Roman"/>
          <w:sz w:val="20"/>
        </w:rPr>
        <w:t>Qingdao, P.R. China, 27th – 30th June 2017</w:t>
      </w:r>
      <w:r>
        <w:rPr>
          <w:rFonts w:ascii="Times New Roman" w:eastAsia="SimSun" w:hAnsi="Times New Roman"/>
          <w:sz w:val="20"/>
        </w:rPr>
        <w:t>.</w:t>
      </w:r>
      <w:bookmarkEnd w:id="17"/>
      <w:bookmarkEnd w:id="18"/>
      <w:bookmarkEnd w:id="19"/>
      <w:bookmarkEnd w:id="22"/>
    </w:p>
    <w:p w14:paraId="09DB66DA" w14:textId="4842C344" w:rsidR="00FC4F4F" w:rsidRPr="000727F9" w:rsidRDefault="00FC4F4F" w:rsidP="000727F9">
      <w:pPr>
        <w:pStyle w:val="ListParagraph"/>
        <w:numPr>
          <w:ilvl w:val="0"/>
          <w:numId w:val="2"/>
        </w:numPr>
        <w:jc w:val="both"/>
        <w:rPr>
          <w:rFonts w:ascii="Times New Roman" w:eastAsia="SimSun" w:hAnsi="Times New Roman"/>
          <w:sz w:val="20"/>
        </w:rPr>
      </w:pPr>
      <w:bookmarkStart w:id="23" w:name="_Ref481678721"/>
      <w:r w:rsidRPr="00540310">
        <w:rPr>
          <w:rFonts w:ascii="Times New Roman" w:eastAsia="SimSun" w:hAnsi="Times New Roman"/>
          <w:sz w:val="20"/>
        </w:rPr>
        <w:t>3GPP TS 36.101, “User Equipment (UE) radio transmission and reception</w:t>
      </w:r>
      <w:r>
        <w:rPr>
          <w:rFonts w:ascii="Times New Roman" w:eastAsia="SimSun" w:hAnsi="Times New Roman"/>
          <w:sz w:val="20"/>
        </w:rPr>
        <w:t>,</w:t>
      </w:r>
      <w:r w:rsidRPr="00540310">
        <w:rPr>
          <w:rFonts w:ascii="Times New Roman" w:eastAsia="SimSun" w:hAnsi="Times New Roman"/>
          <w:sz w:val="20"/>
        </w:rPr>
        <w:t>” V14.3.0, March 2017.</w:t>
      </w:r>
      <w:bookmarkEnd w:id="23"/>
    </w:p>
    <w:sectPr w:rsidR="00FC4F4F" w:rsidRPr="000727F9"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852A8" w14:textId="77777777" w:rsidR="00B57D81" w:rsidRDefault="00B57D81">
      <w:r>
        <w:separator/>
      </w:r>
    </w:p>
  </w:endnote>
  <w:endnote w:type="continuationSeparator" w:id="0">
    <w:p w14:paraId="56799FF8" w14:textId="77777777" w:rsidR="00B57D81" w:rsidRDefault="00B57D81">
      <w:r>
        <w:continuationSeparator/>
      </w:r>
    </w:p>
  </w:endnote>
  <w:endnote w:type="continuationNotice" w:id="1">
    <w:p w14:paraId="3AA5C560" w14:textId="77777777" w:rsidR="00B57D81" w:rsidRDefault="00B57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54264" w:rsidRDefault="00F5426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54264" w:rsidRDefault="00F5426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CC949EE" w:rsidR="00F54264" w:rsidRDefault="00F5426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D7B8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7B81">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C4FF6" w14:textId="77777777" w:rsidR="00B57D81" w:rsidRDefault="00B57D81">
      <w:r>
        <w:separator/>
      </w:r>
    </w:p>
  </w:footnote>
  <w:footnote w:type="continuationSeparator" w:id="0">
    <w:p w14:paraId="5AEBCD9B" w14:textId="77777777" w:rsidR="00B57D81" w:rsidRDefault="00B57D81">
      <w:r>
        <w:continuationSeparator/>
      </w:r>
    </w:p>
  </w:footnote>
  <w:footnote w:type="continuationNotice" w:id="1">
    <w:p w14:paraId="40B3A4AE" w14:textId="77777777" w:rsidR="00B57D81" w:rsidRDefault="00B57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54264" w:rsidRDefault="00F5426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817D4"/>
    <w:multiLevelType w:val="hybridMultilevel"/>
    <w:tmpl w:val="7EB8C1D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F75983"/>
    <w:multiLevelType w:val="hybridMultilevel"/>
    <w:tmpl w:val="88C2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4A5505"/>
    <w:multiLevelType w:val="hybridMultilevel"/>
    <w:tmpl w:val="DB38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2F5643"/>
    <w:multiLevelType w:val="hybridMultilevel"/>
    <w:tmpl w:val="FD8A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C925C9"/>
    <w:multiLevelType w:val="hybridMultilevel"/>
    <w:tmpl w:val="73D090F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A5A2475"/>
    <w:multiLevelType w:val="hybridMultilevel"/>
    <w:tmpl w:val="B74C56C6"/>
    <w:lvl w:ilvl="0" w:tplc="6B0AEB20">
      <w:start w:val="1"/>
      <w:numFmt w:val="decimal"/>
      <w:lvlText w:val="Proposal %1."/>
      <w:lvlJc w:val="left"/>
      <w:pPr>
        <w:ind w:left="1080" w:hanging="360"/>
      </w:pPr>
      <w:rPr>
        <w:rFonts w:hint="default"/>
        <w:b/>
        <w:i w:val="0"/>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A26713"/>
    <w:multiLevelType w:val="hybridMultilevel"/>
    <w:tmpl w:val="94D6699A"/>
    <w:lvl w:ilvl="0" w:tplc="9D80BC14">
      <w:start w:val="1"/>
      <w:numFmt w:val="decimal"/>
      <w:lvlText w:val="Proposal %1."/>
      <w:lvlJc w:val="left"/>
      <w:pPr>
        <w:ind w:left="1080" w:hanging="360"/>
      </w:pPr>
      <w:rPr>
        <w:rFonts w:hint="default"/>
        <w:b/>
        <w:i w:val="0"/>
        <w:lang w:val="en-G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9B3655"/>
    <w:multiLevelType w:val="hybridMultilevel"/>
    <w:tmpl w:val="538C9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3"/>
  </w:num>
  <w:num w:numId="5">
    <w:abstractNumId w:val="2"/>
  </w:num>
  <w:num w:numId="6">
    <w:abstractNumId w:val="5"/>
  </w:num>
  <w:num w:numId="7">
    <w:abstractNumId w:val="18"/>
  </w:num>
  <w:num w:numId="8">
    <w:abstractNumId w:val="3"/>
  </w:num>
  <w:num w:numId="9">
    <w:abstractNumId w:val="7"/>
  </w:num>
  <w:num w:numId="10">
    <w:abstractNumId w:val="6"/>
  </w:num>
  <w:num w:numId="11">
    <w:abstractNumId w:val="11"/>
  </w:num>
  <w:num w:numId="12">
    <w:abstractNumId w:val="8"/>
  </w:num>
  <w:num w:numId="13">
    <w:abstractNumId w:val="12"/>
  </w:num>
  <w:num w:numId="14">
    <w:abstractNumId w:val="1"/>
  </w:num>
  <w:num w:numId="15">
    <w:abstractNumId w:val="17"/>
  </w:num>
  <w:num w:numId="16">
    <w:abstractNumId w:val="15"/>
  </w:num>
  <w:num w:numId="17">
    <w:abstractNumId w:val="10"/>
  </w:num>
  <w:num w:numId="18">
    <w:abstractNumId w:val="14"/>
  </w:num>
  <w:num w:numId="19">
    <w:abstractNumId w:val="19"/>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7F9"/>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7C8"/>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B4"/>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7F0"/>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2B0"/>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0"/>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5FF4"/>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6F48"/>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D04"/>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D7B81"/>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777"/>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23D"/>
    <w:rsid w:val="0057380A"/>
    <w:rsid w:val="00573BB0"/>
    <w:rsid w:val="00573D2B"/>
    <w:rsid w:val="00573F24"/>
    <w:rsid w:val="00574167"/>
    <w:rsid w:val="00574D14"/>
    <w:rsid w:val="00574FDC"/>
    <w:rsid w:val="005753DB"/>
    <w:rsid w:val="005756BD"/>
    <w:rsid w:val="005760C5"/>
    <w:rsid w:val="005766EA"/>
    <w:rsid w:val="00576A37"/>
    <w:rsid w:val="00576D5A"/>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0AA6"/>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D47"/>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51"/>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6E5"/>
    <w:rsid w:val="00703D8A"/>
    <w:rsid w:val="00704123"/>
    <w:rsid w:val="00704641"/>
    <w:rsid w:val="007047A7"/>
    <w:rsid w:val="007050A6"/>
    <w:rsid w:val="007056ED"/>
    <w:rsid w:val="00705C1C"/>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5D9D"/>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02AB"/>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0AD"/>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8CD"/>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92B"/>
    <w:rsid w:val="0096397B"/>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4FCF"/>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57D8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3D"/>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161"/>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0FFF"/>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64"/>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4F4F"/>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11"/>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HR33RHYHUWRF-4-5461</_dlc_DocId>
    <_dlc_DocIdUrl xmlns="c06861ca-3f08-4d07-bff7-bb15bac121f4">
      <Url>https://projects.qualcomm.com/sites/pentari/_layouts/15/DocIdRedir.aspx?ID=HR33RHYHUWRF-4-5461</Url>
      <Description>HR33RHYHUWRF-4-5461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E0CAD83-EF7C-410E-99FF-2E3141CD1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Linhai He</cp:lastModifiedBy>
  <cp:revision>2</cp:revision>
  <cp:lastPrinted>2017-09-27T20:02:00Z</cp:lastPrinted>
  <dcterms:created xsi:type="dcterms:W3CDTF">2017-09-29T04:33:00Z</dcterms:created>
  <dcterms:modified xsi:type="dcterms:W3CDTF">2017-09-29T04:33:00Z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4273f522-16a6-4862-8089-9c3ea044e144</vt:lpwstr>
  </property>
</Properties>
</file>